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w:t>
      </w:r>
    </w:p>
    <w:p>
      <w:r>
        <w:t>Bundesgericht (BGE), 1985-03-21, DE</w:t>
      </w:r>
    </w:p>
    <w:p>
      <w:r>
        <w:rPr>
          <w:b/>
        </w:rPr>
        <w:t xml:space="preserve">Quelle: </w:t>
      </w:r>
      <w:r>
        <w:t>https://mcp.opencaselaw.ch/entscheid/bge_111 II 24</w:t>
      </w:r>
    </w:p>
    <w:p>
      <w:r>
        <w:t>FR: ATF 111 II 24</w:t>
      </w:r>
    </w:p>
    <w:p>
      <w:r>
        <w:t>IT: DTF 111 II 24</w:t>
      </w:r>
    </w:p>
    <w:p>
      <w:pPr>
        <w:pStyle w:val="Heading2"/>
      </w:pPr>
      <w:r>
        <w:t>Regeste</w:t>
      </w:r>
    </w:p>
    <w:p>
      <w:r>
        <w:t>Regeste Verletzung von Grundeigentum; Abwehr ungerechtfertigter Einwirkungen (Art. 641 Abs. 2 ZGB). Wird bei Strassenbauarbeiten auf einem Grundstück unmittelbar in die Substanz des Nachbargrundstücks eingegriffen (Abgrabungen), so hat dessen Eigentümer - gestützt auf Art. 641 Abs. 2 ZGB - einen Anspruch auf Beseitigung des Störungszustandes.</w:t>
      </w:r>
    </w:p>
    <w:p>
      <w:pPr>
        <w:pStyle w:val="Heading2"/>
      </w:pPr>
      <w:r>
        <w:t>Erwägungen</w:t>
      </w:r>
    </w:p>
    <w:p>
      <w:r>
        <w:rPr>
          <w:b/>
        </w:rPr>
        <w:t>E. 1</w:t>
      </w:r>
    </w:p>
    <w:p>
      <w:r>
        <w:t>Aufgrund der für das Bundesgericht verbindlichen tatsächlichen Feststellungen der Vorinstanz ist davon auszugehen, dass beim Bau der Zufahrtsstrasse zum Grundstück der Beklagten Erdreich von der Parzelle des Klägers abgetragen wurde. Es steht ferner fest, dass durch die Überschreitung der natürlichen Neigung sich im oberen Teil der Böschung kleine Rutschungen ereignet haben.</w:t>
      </w:r>
    </w:p>
    <w:p>
      <w:r>
        <w:rPr>
          <w:b/>
        </w:rPr>
        <w:t>E. 2</w:t>
      </w:r>
    </w:p>
    <w:p>
      <w:r>
        <w:t>a) Die Beklagte bringt vor, die ungerechtfertigte Einwirkung auf das Grundstück des Klägers habe mit der Beendigung der Strassenbauarbeiten aufgehört. Seither seien nur noch die Folgen der Einwirkung vorhanden. Gegen einen zeitlich zurückliegenden, nicht mehr andauernden Eingriff könne aber nicht mit der Negatorienklage vorgegangen werden. Es bestehe in diesem Fall kein Beseitigungs-, sondern nur ein Schadenersatzanspruch, der aber hier gemäss Art. 60 OR verjährt sei. b) Im Entscheid 107 II 134 ff. hat das Bundesgericht den Fall, da die schädigende Handlung oder der schädigende Zustand mit einem bestimmten Grundstück verbunden ist und die Wirkungen auf einem andern Grundstück eintreten, klar vom direkten Eingriff BGE 111 II 24 S. 26 in die Substanz des geschädigten Grundstücks unterschieden. Es hielt fest, dass im ersten Fall mit der Beseitigungsklage gemäss Art. 679 ZGB nur die Beseitigung des den Schaden verursachenden Zustandes auf dem Ausgangsgrundstück, nicht aber die Wiederherstellung des früheren Zustandes auf dem geschädigten Grundstück verlangt werden könne ( BGE 107 II 136 f.; im gleichen Sinne auch LIVER, in: ZBJV 119/1983, S. 116). Letzteres ist in der Tat nur auf dem Weg der Schadenersatzklage möglich, sei es mit einem Begehren auf Geldleistung, sei es mit einem solchen auf Naturalersatz. Die Schadenersatzklage unterliegt freilich der Verjährung gemäss Art. 60 OR . Bei einem direkten Eingriff in die Substanz des geschädigten Grundstücks steht dem Eigentümer dagegen der allgemeine Abwehranspruch des Art. 641 Abs. 2 ZGB zu, der dinglicher Natur und unverjährbar ist (vgl. BGE 83 II 198 ). c) Wie sich aus den für das Bundesgericht verbindlichen Feststellungen der Vorinstanz ergibt, wurde bei den Strassenbauarbeiten auf dem Grundstück der Beklagten unmittelbar in die Substanz des klägerischen Grundstücks eingegriffen. Dieses wurde durch die Grabungen somit nicht nur im Sinne von Art. 685 Abs. 1 ZGB gefährdet, sondern in Gebrauch und Nutzung unmittelbar beeinträchtigt. Der Störungszustand, der durch das Abtragen von Erdreich auf dem klägerischen Grundstück eingetreten ist, dauert an und ist als dem Eigentum widersprechender Zustand zu qualifizieren (vgl. MEIER-HAYOZ, 5. Aufl., N. 103 zu Art. 641 ZGB ; BGE 88 II 267 unten). Der Kläger hat deshalb - und zwar gestützt auf Art. 641 Abs. 2 ZGB - einen Anspruch auf Beseitigung des Störungszustandes. Die Gutheissung der Klage in dem von der Vorinstanz festgehaltenen Sinn verstösst somit nicht gegen Bundesrecht. Bei dieser Sachlage ist der Einrede der Beklagten, ein aus Art. 679 ZGB abgeleiteter Schadenersatzanspruch sei verjährt,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